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07" w:rsidRPr="00300F07" w:rsidRDefault="00300F07" w:rsidP="00300F07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0F07">
        <w:rPr>
          <w:rFonts w:ascii="Arial" w:hAnsi="Arial" w:cs="Arial"/>
          <w:b/>
          <w:bCs/>
          <w:sz w:val="22"/>
          <w:szCs w:val="22"/>
        </w:rPr>
        <w:t>POSTGRADUATE STUDY IN LAW</w:t>
      </w:r>
    </w:p>
    <w:p w:rsidR="00300F07" w:rsidRDefault="00300F07" w:rsidP="005B162D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300F07" w:rsidRPr="00300F07" w:rsidRDefault="00300F07" w:rsidP="005B162D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300F07" w:rsidRDefault="005B162D" w:rsidP="005B162D">
      <w:pPr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7F11DD">
        <w:rPr>
          <w:rFonts w:ascii="Arial" w:hAnsi="Arial" w:cs="Arial"/>
          <w:b/>
          <w:bCs/>
          <w:sz w:val="22"/>
          <w:szCs w:val="22"/>
          <w:u w:val="single"/>
        </w:rPr>
        <w:t xml:space="preserve">Eligibility for Admission </w:t>
      </w:r>
    </w:p>
    <w:p w:rsidR="005B162D" w:rsidRPr="007F11DD" w:rsidRDefault="005B162D" w:rsidP="005B162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F11D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F11DD">
        <w:rPr>
          <w:rFonts w:ascii="Arial" w:hAnsi="Arial" w:cs="Arial"/>
          <w:sz w:val="22"/>
          <w:szCs w:val="22"/>
        </w:rPr>
        <w:t xml:space="preserve">The eligibility is as per CLAT Notification. For details </w:t>
      </w:r>
      <w:r>
        <w:rPr>
          <w:rFonts w:ascii="Arial" w:hAnsi="Arial" w:cs="Arial"/>
          <w:sz w:val="22"/>
          <w:szCs w:val="22"/>
        </w:rPr>
        <w:t xml:space="preserve">visit </w:t>
      </w:r>
      <w:hyperlink r:id="rId6" w:history="1">
        <w:r w:rsidRPr="00FF1245">
          <w:rPr>
            <w:rStyle w:val="Hyperlink"/>
            <w:rFonts w:ascii="Arial" w:hAnsi="Arial" w:cs="Arial"/>
            <w:sz w:val="22"/>
            <w:szCs w:val="22"/>
          </w:rPr>
          <w:t>www.clat.ac.in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7F11DD">
        <w:rPr>
          <w:rFonts w:ascii="Arial" w:hAnsi="Arial" w:cs="Arial"/>
          <w:sz w:val="22"/>
          <w:szCs w:val="22"/>
        </w:rPr>
        <w:t xml:space="preserve"> </w:t>
      </w: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B162D" w:rsidRPr="007F11DD" w:rsidRDefault="005B162D" w:rsidP="005B162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F11DD">
        <w:rPr>
          <w:rFonts w:ascii="Arial" w:hAnsi="Arial" w:cs="Arial"/>
          <w:sz w:val="22"/>
          <w:szCs w:val="22"/>
        </w:rPr>
        <w:t xml:space="preserve">To be eligible for admission under the </w:t>
      </w:r>
      <w:r w:rsidRPr="007F11DD">
        <w:rPr>
          <w:rFonts w:ascii="Arial" w:hAnsi="Arial" w:cs="Arial"/>
          <w:b/>
          <w:sz w:val="22"/>
          <w:szCs w:val="22"/>
        </w:rPr>
        <w:t xml:space="preserve">Resident Student of </w:t>
      </w:r>
      <w:proofErr w:type="spellStart"/>
      <w:r w:rsidRPr="007F11DD">
        <w:rPr>
          <w:rFonts w:ascii="Arial" w:hAnsi="Arial" w:cs="Arial"/>
          <w:b/>
          <w:sz w:val="22"/>
          <w:szCs w:val="22"/>
        </w:rPr>
        <w:t>Telangana</w:t>
      </w:r>
      <w:proofErr w:type="spellEnd"/>
      <w:r w:rsidRPr="007F11DD">
        <w:rPr>
          <w:rFonts w:ascii="Arial" w:hAnsi="Arial" w:cs="Arial"/>
          <w:b/>
          <w:sz w:val="22"/>
          <w:szCs w:val="22"/>
        </w:rPr>
        <w:t xml:space="preserve"> category seats, </w:t>
      </w:r>
      <w:r w:rsidRPr="007F11DD">
        <w:rPr>
          <w:rFonts w:ascii="Arial" w:hAnsi="Arial" w:cs="Arial"/>
          <w:sz w:val="22"/>
          <w:szCs w:val="22"/>
        </w:rPr>
        <w:t xml:space="preserve">in addition to complying with the eligibility as per CLAT, candidates must fulfill the following conditions and must secure appropriate rank in order of merit in CLAT: </w:t>
      </w:r>
    </w:p>
    <w:p w:rsidR="005B162D" w:rsidRPr="007F11DD" w:rsidRDefault="005B162D" w:rsidP="00FA72B1">
      <w:pPr>
        <w:suppressAutoHyphens w:val="0"/>
        <w:spacing w:after="0" w:line="240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7F11DD">
        <w:rPr>
          <w:rFonts w:ascii="Arial" w:hAnsi="Arial" w:cs="Arial"/>
          <w:b/>
          <w:sz w:val="22"/>
          <w:szCs w:val="22"/>
        </w:rPr>
        <w:t xml:space="preserve">For admission to LL.M. Course </w:t>
      </w:r>
      <w:r w:rsidRPr="007F11D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F11DD">
        <w:rPr>
          <w:rFonts w:ascii="Arial" w:hAnsi="Arial" w:cs="Arial"/>
          <w:sz w:val="22"/>
          <w:szCs w:val="22"/>
        </w:rPr>
        <w:t>a  person</w:t>
      </w:r>
      <w:proofErr w:type="gramEnd"/>
      <w:r w:rsidRPr="007F11DD">
        <w:rPr>
          <w:rFonts w:ascii="Arial" w:hAnsi="Arial" w:cs="Arial"/>
          <w:sz w:val="22"/>
          <w:szCs w:val="22"/>
        </w:rPr>
        <w:t xml:space="preserve"> who after studying in the State of </w:t>
      </w:r>
      <w:proofErr w:type="spellStart"/>
      <w:r w:rsidRPr="007F11DD">
        <w:rPr>
          <w:rFonts w:ascii="Arial" w:hAnsi="Arial" w:cs="Arial"/>
          <w:sz w:val="22"/>
          <w:szCs w:val="22"/>
        </w:rPr>
        <w:t>Telangana</w:t>
      </w:r>
      <w:proofErr w:type="spellEnd"/>
      <w:r w:rsidRPr="007F11DD">
        <w:rPr>
          <w:rFonts w:ascii="Arial" w:hAnsi="Arial" w:cs="Arial"/>
          <w:sz w:val="22"/>
          <w:szCs w:val="22"/>
        </w:rPr>
        <w:t xml:space="preserve"> for four consecutive years appears for the qualifying examination in the same State </w:t>
      </w:r>
      <w:r w:rsidRPr="007F11DD">
        <w:rPr>
          <w:rFonts w:ascii="Arial" w:hAnsi="Arial" w:cs="Arial"/>
          <w:b/>
          <w:sz w:val="22"/>
          <w:szCs w:val="22"/>
        </w:rPr>
        <w:t>(or)</w:t>
      </w:r>
    </w:p>
    <w:p w:rsidR="005B162D" w:rsidRPr="007F11DD" w:rsidRDefault="005B162D" w:rsidP="005B162D">
      <w:pPr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7F11DD">
        <w:rPr>
          <w:rFonts w:ascii="Arial" w:hAnsi="Arial" w:cs="Arial"/>
          <w:sz w:val="22"/>
          <w:szCs w:val="22"/>
        </w:rPr>
        <w:t>A  person</w:t>
      </w:r>
      <w:proofErr w:type="gramEnd"/>
      <w:r w:rsidRPr="007F11DD">
        <w:rPr>
          <w:rFonts w:ascii="Arial" w:hAnsi="Arial" w:cs="Arial"/>
          <w:sz w:val="22"/>
          <w:szCs w:val="22"/>
        </w:rPr>
        <w:t xml:space="preserve"> who has in the previous seven years resided in the State of </w:t>
      </w:r>
      <w:proofErr w:type="spellStart"/>
      <w:r w:rsidRPr="007F11DD">
        <w:rPr>
          <w:rFonts w:ascii="Arial" w:hAnsi="Arial" w:cs="Arial"/>
          <w:sz w:val="22"/>
          <w:szCs w:val="22"/>
        </w:rPr>
        <w:t>Telangana</w:t>
      </w:r>
      <w:proofErr w:type="spellEnd"/>
      <w:r w:rsidRPr="007F11DD">
        <w:rPr>
          <w:rFonts w:ascii="Arial" w:hAnsi="Arial" w:cs="Arial"/>
          <w:sz w:val="22"/>
          <w:szCs w:val="22"/>
        </w:rPr>
        <w:t xml:space="preserve"> for at least a period of  four years,  and completed the qualifying examination, that is LL</w:t>
      </w:r>
      <w:r>
        <w:rPr>
          <w:rFonts w:ascii="Arial" w:hAnsi="Arial" w:cs="Arial"/>
          <w:sz w:val="22"/>
          <w:szCs w:val="22"/>
        </w:rPr>
        <w:t>.</w:t>
      </w:r>
      <w:r w:rsidRPr="007F11D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  <w:r w:rsidRPr="007F11DD">
        <w:rPr>
          <w:rFonts w:ascii="Arial" w:hAnsi="Arial" w:cs="Arial"/>
          <w:sz w:val="22"/>
          <w:szCs w:val="22"/>
        </w:rPr>
        <w:t xml:space="preserve"> from the educational institutions in the State of </w:t>
      </w:r>
      <w:proofErr w:type="spellStart"/>
      <w:r w:rsidRPr="007F11DD">
        <w:rPr>
          <w:rFonts w:ascii="Arial" w:hAnsi="Arial" w:cs="Arial"/>
          <w:sz w:val="22"/>
          <w:szCs w:val="22"/>
        </w:rPr>
        <w:t>Telangana</w:t>
      </w:r>
      <w:proofErr w:type="spellEnd"/>
      <w:r w:rsidRPr="007F11DD">
        <w:rPr>
          <w:rFonts w:ascii="Arial" w:hAnsi="Arial" w:cs="Arial"/>
          <w:sz w:val="22"/>
          <w:szCs w:val="22"/>
        </w:rPr>
        <w:t xml:space="preserve">. </w:t>
      </w:r>
    </w:p>
    <w:p w:rsidR="005B162D" w:rsidRPr="007F11DD" w:rsidRDefault="005B162D" w:rsidP="005B162D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7F11DD">
        <w:rPr>
          <w:rFonts w:ascii="Arial" w:hAnsi="Arial" w:cs="Arial"/>
          <w:b/>
          <w:sz w:val="22"/>
          <w:szCs w:val="22"/>
        </w:rPr>
        <w:t xml:space="preserve">Intake and Reservation </w:t>
      </w:r>
    </w:p>
    <w:tbl>
      <w:tblPr>
        <w:tblW w:w="8314" w:type="dxa"/>
        <w:tblInd w:w="524" w:type="dxa"/>
        <w:tblLayout w:type="fixed"/>
        <w:tblLook w:val="0000" w:firstRow="0" w:lastRow="0" w:firstColumn="0" w:lastColumn="0" w:noHBand="0" w:noVBand="0"/>
      </w:tblPr>
      <w:tblGrid>
        <w:gridCol w:w="2554"/>
        <w:gridCol w:w="1350"/>
        <w:gridCol w:w="2070"/>
        <w:gridCol w:w="2340"/>
      </w:tblGrid>
      <w:tr w:rsidR="005B162D" w:rsidRPr="007F11DD" w:rsidTr="005B162D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LL.M. </w:t>
            </w:r>
          </w:p>
        </w:tc>
      </w:tr>
      <w:tr w:rsidR="005B162D" w:rsidRPr="002537A6" w:rsidTr="005B162D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2537A6" w:rsidRDefault="005B162D" w:rsidP="001D00E2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7A6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2537A6" w:rsidRDefault="005B162D" w:rsidP="001D00E2">
            <w:pPr>
              <w:pStyle w:val="BodyText"/>
              <w:spacing w:line="240" w:lineRule="auto"/>
              <w:ind w:left="-108" w:right="-8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7A6">
              <w:rPr>
                <w:rFonts w:ascii="Arial" w:hAnsi="Arial" w:cs="Arial"/>
                <w:b/>
                <w:bCs/>
                <w:sz w:val="20"/>
                <w:szCs w:val="20"/>
              </w:rPr>
              <w:t>TOTAL Seats Category-wise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2537A6" w:rsidRDefault="005B162D" w:rsidP="001D00E2">
            <w:pPr>
              <w:pStyle w:val="BodyText"/>
              <w:spacing w:line="240" w:lineRule="auto"/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7A6">
              <w:rPr>
                <w:rFonts w:ascii="Arial" w:hAnsi="Arial" w:cs="Arial"/>
                <w:b/>
                <w:bCs/>
                <w:sz w:val="20"/>
                <w:szCs w:val="20"/>
              </w:rPr>
              <w:t>No. of Seats for</w:t>
            </w:r>
          </w:p>
          <w:p w:rsidR="005B162D" w:rsidRPr="002537A6" w:rsidRDefault="005B162D" w:rsidP="001D00E2">
            <w:pPr>
              <w:pStyle w:val="BodyText"/>
              <w:spacing w:line="240" w:lineRule="auto"/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7A6">
              <w:rPr>
                <w:rFonts w:ascii="Arial" w:hAnsi="Arial" w:cs="Arial"/>
                <w:b/>
                <w:bCs/>
                <w:sz w:val="20"/>
                <w:szCs w:val="20"/>
              </w:rPr>
              <w:t>All India candidates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2537A6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Seats for Resident Students of </w:t>
            </w:r>
            <w:proofErr w:type="spellStart"/>
            <w:r w:rsidRPr="002537A6">
              <w:rPr>
                <w:rFonts w:ascii="Arial" w:hAnsi="Arial" w:cs="Arial"/>
                <w:b/>
                <w:bCs/>
                <w:sz w:val="20"/>
                <w:szCs w:val="20"/>
              </w:rPr>
              <w:t>Telangana</w:t>
            </w:r>
            <w:proofErr w:type="spellEnd"/>
            <w:r w:rsidRPr="00253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162D" w:rsidRPr="007F11DD" w:rsidTr="005B162D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5B162D" w:rsidRPr="007F11DD" w:rsidTr="005B162D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>Scheduled Caste (15%)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5B162D" w:rsidRPr="007F11DD" w:rsidTr="005B162D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>Scheduled Tribe (7.5%)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5B162D" w:rsidRPr="007F11DD" w:rsidTr="005B162D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11DD">
              <w:rPr>
                <w:rFonts w:ascii="Arial" w:hAnsi="Arial" w:cs="Arial"/>
                <w:b/>
                <w:bCs/>
                <w:sz w:val="22"/>
                <w:szCs w:val="22"/>
              </w:rPr>
              <w:t>TOTAL SEATS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2537A6" w:rsidRDefault="005B162D" w:rsidP="001D00E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7A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</w:tbl>
    <w:p w:rsidR="005B162D" w:rsidRDefault="005B162D" w:rsidP="005B162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F11DD">
        <w:rPr>
          <w:rFonts w:ascii="Arial" w:hAnsi="Arial" w:cs="Arial"/>
          <w:sz w:val="22"/>
          <w:szCs w:val="22"/>
        </w:rPr>
        <w:t>03% {02 seats for LL.M. course} Horizontal reservation shall be applicable for Persons with Disabilities (PWD)</w:t>
      </w:r>
      <w:r>
        <w:rPr>
          <w:rFonts w:ascii="Arial" w:hAnsi="Arial" w:cs="Arial"/>
          <w:sz w:val="22"/>
          <w:szCs w:val="22"/>
        </w:rPr>
        <w:t>.</w:t>
      </w: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F11DD">
        <w:rPr>
          <w:rFonts w:ascii="Arial" w:hAnsi="Arial" w:cs="Arial"/>
          <w:b/>
          <w:sz w:val="22"/>
          <w:szCs w:val="22"/>
        </w:rPr>
        <w:t>Note :</w:t>
      </w:r>
      <w:proofErr w:type="gramEnd"/>
      <w:r w:rsidRPr="007F11DD">
        <w:rPr>
          <w:rFonts w:ascii="Arial" w:hAnsi="Arial" w:cs="Arial"/>
          <w:b/>
          <w:sz w:val="22"/>
          <w:szCs w:val="22"/>
        </w:rPr>
        <w:t xml:space="preserve"> Three additional candidates </w:t>
      </w:r>
      <w:r>
        <w:rPr>
          <w:rFonts w:ascii="Arial" w:hAnsi="Arial" w:cs="Arial"/>
          <w:b/>
          <w:sz w:val="22"/>
          <w:szCs w:val="22"/>
        </w:rPr>
        <w:t>may</w:t>
      </w:r>
      <w:r w:rsidRPr="007F11DD">
        <w:rPr>
          <w:rFonts w:ascii="Arial" w:hAnsi="Arial" w:cs="Arial"/>
          <w:b/>
          <w:sz w:val="22"/>
          <w:szCs w:val="22"/>
        </w:rPr>
        <w:t xml:space="preserve"> be admitted over and above the sanctioned intake for LL.M., out of which one seat shall be offered to Resident Students of </w:t>
      </w:r>
      <w:proofErr w:type="spellStart"/>
      <w:r w:rsidRPr="007F11DD">
        <w:rPr>
          <w:rFonts w:ascii="Arial" w:hAnsi="Arial" w:cs="Arial"/>
          <w:b/>
          <w:sz w:val="22"/>
          <w:szCs w:val="22"/>
        </w:rPr>
        <w:t>Telangana</w:t>
      </w:r>
      <w:proofErr w:type="spellEnd"/>
      <w:r w:rsidRPr="007F11DD">
        <w:rPr>
          <w:rFonts w:ascii="Arial" w:hAnsi="Arial" w:cs="Arial"/>
          <w:b/>
          <w:sz w:val="22"/>
          <w:szCs w:val="22"/>
        </w:rPr>
        <w:t xml:space="preserve"> General Category and two seats shall be offered to All India General Category candidates.</w:t>
      </w:r>
    </w:p>
    <w:p w:rsidR="005B162D" w:rsidRPr="007F11DD" w:rsidRDefault="005B162D" w:rsidP="005B162D">
      <w:pPr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F11DD">
        <w:rPr>
          <w:rFonts w:ascii="Arial" w:hAnsi="Arial" w:cs="Arial"/>
          <w:sz w:val="22"/>
          <w:szCs w:val="22"/>
        </w:rPr>
        <w:t xml:space="preserve">If a Resident Student of </w:t>
      </w:r>
      <w:proofErr w:type="spellStart"/>
      <w:r w:rsidRPr="007F11DD">
        <w:rPr>
          <w:rFonts w:ascii="Arial" w:hAnsi="Arial" w:cs="Arial"/>
          <w:sz w:val="22"/>
          <w:szCs w:val="22"/>
        </w:rPr>
        <w:t>Telangana</w:t>
      </w:r>
      <w:proofErr w:type="spellEnd"/>
      <w:r w:rsidRPr="007F11DD">
        <w:rPr>
          <w:rFonts w:ascii="Arial" w:hAnsi="Arial" w:cs="Arial"/>
          <w:sz w:val="22"/>
          <w:szCs w:val="22"/>
        </w:rPr>
        <w:t xml:space="preserve"> qualifies for admission in the regular All India merit, he / she shall be considered against the All India Seat only and not against </w:t>
      </w:r>
      <w:proofErr w:type="spellStart"/>
      <w:r w:rsidRPr="007F11DD">
        <w:rPr>
          <w:rFonts w:ascii="Arial" w:hAnsi="Arial" w:cs="Arial"/>
          <w:sz w:val="22"/>
          <w:szCs w:val="22"/>
        </w:rPr>
        <w:t>Telangana</w:t>
      </w:r>
      <w:proofErr w:type="spellEnd"/>
      <w:r w:rsidRPr="007F11DD">
        <w:rPr>
          <w:rFonts w:ascii="Arial" w:hAnsi="Arial" w:cs="Arial"/>
          <w:sz w:val="22"/>
          <w:szCs w:val="22"/>
        </w:rPr>
        <w:t xml:space="preserve"> Quota Seat. If no candidate is available against the Seats reserved for Resident Students of </w:t>
      </w:r>
      <w:proofErr w:type="spellStart"/>
      <w:r w:rsidRPr="007F11DD">
        <w:rPr>
          <w:rFonts w:ascii="Arial" w:hAnsi="Arial" w:cs="Arial"/>
          <w:sz w:val="22"/>
          <w:szCs w:val="22"/>
        </w:rPr>
        <w:t>Telangana</w:t>
      </w:r>
      <w:proofErr w:type="spellEnd"/>
      <w:r w:rsidRPr="007F11DD">
        <w:rPr>
          <w:rFonts w:ascii="Arial" w:hAnsi="Arial" w:cs="Arial"/>
          <w:sz w:val="22"/>
          <w:szCs w:val="22"/>
        </w:rPr>
        <w:t xml:space="preserve">, such Seats shall be added to the relevant Categories under All India Quota. </w:t>
      </w:r>
    </w:p>
    <w:p w:rsidR="005B162D" w:rsidRPr="007F11DD" w:rsidRDefault="005B162D" w:rsidP="005B162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11DD">
        <w:rPr>
          <w:rFonts w:ascii="Arial" w:hAnsi="Arial" w:cs="Arial"/>
          <w:sz w:val="22"/>
          <w:szCs w:val="22"/>
        </w:rPr>
        <w:t xml:space="preserve">The unfilled Seats reserved for Scheduled Caste candidates are assigned to Scheduled Tribe candidates and vice-versa. If sufficient eligible SC and ST candidates are not available to fill such Seats, they are reallocated to General Category candidates in order of CLAT merit. </w:t>
      </w: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F11DD">
        <w:rPr>
          <w:rFonts w:ascii="Arial" w:hAnsi="Arial" w:cs="Arial"/>
          <w:b/>
          <w:bCs/>
          <w:sz w:val="22"/>
          <w:szCs w:val="22"/>
        </w:rPr>
        <w:t xml:space="preserve">Direct Admission </w:t>
      </w: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F11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7F11D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Ten</w:t>
      </w:r>
      <w:r w:rsidRPr="007F11DD">
        <w:rPr>
          <w:rFonts w:ascii="Arial" w:hAnsi="Arial" w:cs="Arial"/>
          <w:sz w:val="22"/>
          <w:szCs w:val="22"/>
        </w:rPr>
        <w:t xml:space="preserve">) Seats are allocated to Foreign Nationals for the </w:t>
      </w:r>
      <w:r>
        <w:rPr>
          <w:rFonts w:ascii="Arial" w:hAnsi="Arial" w:cs="Arial"/>
          <w:sz w:val="22"/>
          <w:szCs w:val="22"/>
        </w:rPr>
        <w:t xml:space="preserve">LL.M. </w:t>
      </w:r>
      <w:r w:rsidRPr="007F11DD">
        <w:rPr>
          <w:rFonts w:ascii="Arial" w:hAnsi="Arial" w:cs="Arial"/>
          <w:sz w:val="22"/>
          <w:szCs w:val="22"/>
        </w:rPr>
        <w:t xml:space="preserve">course out of which </w:t>
      </w:r>
      <w:r>
        <w:rPr>
          <w:rFonts w:ascii="Arial" w:hAnsi="Arial" w:cs="Arial"/>
          <w:sz w:val="22"/>
          <w:szCs w:val="22"/>
        </w:rPr>
        <w:t>5</w:t>
      </w:r>
      <w:r w:rsidRPr="007F11D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five</w:t>
      </w:r>
      <w:r w:rsidRPr="007F11DD">
        <w:rPr>
          <w:rFonts w:ascii="Arial" w:hAnsi="Arial" w:cs="Arial"/>
          <w:sz w:val="22"/>
          <w:szCs w:val="22"/>
        </w:rPr>
        <w:t xml:space="preserve">) seats are for candidates from SAARC Countries and </w:t>
      </w:r>
      <w:r>
        <w:rPr>
          <w:rFonts w:ascii="Arial" w:hAnsi="Arial" w:cs="Arial"/>
          <w:sz w:val="22"/>
          <w:szCs w:val="22"/>
        </w:rPr>
        <w:t>5</w:t>
      </w:r>
      <w:r w:rsidRPr="007F11D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five</w:t>
      </w:r>
      <w:r w:rsidRPr="007F11DD">
        <w:rPr>
          <w:rFonts w:ascii="Arial" w:hAnsi="Arial" w:cs="Arial"/>
          <w:sz w:val="22"/>
          <w:szCs w:val="22"/>
        </w:rPr>
        <w:t xml:space="preserve">) seats for candidates from non-SAARC Countries. The candidates who possess citizenship of a country other than </w:t>
      </w:r>
      <w:r w:rsidRPr="007F11DD">
        <w:rPr>
          <w:rFonts w:ascii="Arial" w:hAnsi="Arial" w:cs="Arial"/>
          <w:sz w:val="22"/>
          <w:szCs w:val="22"/>
        </w:rPr>
        <w:lastRenderedPageBreak/>
        <w:t xml:space="preserve">India shall only be considered under this Category. </w:t>
      </w:r>
      <w:r w:rsidRPr="007F11DD">
        <w:rPr>
          <w:rFonts w:ascii="Arial" w:hAnsi="Arial" w:cs="Arial"/>
          <w:b/>
          <w:sz w:val="22"/>
          <w:szCs w:val="22"/>
        </w:rPr>
        <w:t xml:space="preserve">Foreign Nationals, need not take CLAT and should apply directly to NALSAR. </w:t>
      </w:r>
    </w:p>
    <w:p w:rsidR="005B162D" w:rsidRPr="007F11DD" w:rsidRDefault="005B162D" w:rsidP="005B162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11DD">
        <w:rPr>
          <w:rFonts w:ascii="Arial" w:hAnsi="Arial" w:cs="Arial"/>
          <w:sz w:val="22"/>
          <w:szCs w:val="22"/>
        </w:rPr>
        <w:t xml:space="preserve">The vacant seats of SAARC Countries shall be offered to candidates from non-SAARC Countries and vice-versa. If sufficient candidates are not available for Foreign National Category, such vacant seats shall be offered to the All India General Category Candidates of </w:t>
      </w:r>
      <w:proofErr w:type="spellStart"/>
      <w:r w:rsidRPr="007F11DD">
        <w:rPr>
          <w:rFonts w:ascii="Arial" w:hAnsi="Arial" w:cs="Arial"/>
          <w:sz w:val="22"/>
          <w:szCs w:val="22"/>
        </w:rPr>
        <w:t>CLATin</w:t>
      </w:r>
      <w:proofErr w:type="spellEnd"/>
      <w:r w:rsidRPr="007F11DD">
        <w:rPr>
          <w:rFonts w:ascii="Arial" w:hAnsi="Arial" w:cs="Arial"/>
          <w:sz w:val="22"/>
          <w:szCs w:val="22"/>
        </w:rPr>
        <w:t xml:space="preserve"> order of merit. </w:t>
      </w:r>
    </w:p>
    <w:p w:rsidR="005B162D" w:rsidRDefault="005B162D" w:rsidP="005B162D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11DD">
        <w:rPr>
          <w:rFonts w:ascii="Arial" w:hAnsi="Arial" w:cs="Arial"/>
          <w:b/>
          <w:bCs/>
          <w:sz w:val="22"/>
          <w:szCs w:val="22"/>
        </w:rPr>
        <w:t xml:space="preserve">Fee Structure </w:t>
      </w: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760"/>
        <w:gridCol w:w="2880"/>
      </w:tblGrid>
      <w:tr w:rsidR="005B162D" w:rsidRPr="007F11DD" w:rsidTr="005B162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11DD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11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LL.M. </w:t>
            </w:r>
          </w:p>
          <w:p w:rsidR="005B162D" w:rsidRPr="007F11DD" w:rsidRDefault="005B162D" w:rsidP="001D00E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7F11DD">
              <w:rPr>
                <w:rFonts w:ascii="Arial" w:hAnsi="Arial" w:cs="Arial"/>
                <w:b/>
                <w:bCs/>
                <w:sz w:val="22"/>
                <w:szCs w:val="22"/>
              </w:rPr>
              <w:t>Rs</w:t>
            </w:r>
            <w:proofErr w:type="spellEnd"/>
            <w:r w:rsidRPr="007F11DD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5B162D" w:rsidRPr="007F11DD" w:rsidTr="005B162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 xml:space="preserve">Tuition Fee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>65,000/- p.a.</w:t>
            </w:r>
          </w:p>
        </w:tc>
      </w:tr>
      <w:tr w:rsidR="005B162D" w:rsidRPr="007F11DD" w:rsidTr="005B162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Academic Charges (Library Fee, Exam Fee etc.)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>13,000/- p.a.</w:t>
            </w:r>
          </w:p>
        </w:tc>
      </w:tr>
      <w:tr w:rsidR="005B162D" w:rsidRPr="007F11DD" w:rsidTr="005B162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 xml:space="preserve">User charges </w:t>
            </w:r>
          </w:p>
          <w:p w:rsidR="005B162D" w:rsidRPr="007F11DD" w:rsidRDefault="005B162D" w:rsidP="001D00E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>(Room Rent</w:t>
            </w:r>
            <w:r>
              <w:rPr>
                <w:rFonts w:ascii="Arial" w:hAnsi="Arial" w:cs="Arial"/>
                <w:sz w:val="22"/>
                <w:szCs w:val="22"/>
              </w:rPr>
              <w:t>, Electricity, Water, Internet Charges etc.</w:t>
            </w:r>
            <w:r w:rsidRPr="007F11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>67,000/- p.a.</w:t>
            </w:r>
          </w:p>
          <w:p w:rsidR="005B162D" w:rsidRPr="007F11DD" w:rsidRDefault="005B162D" w:rsidP="001D00E2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62D" w:rsidRPr="007F11DD" w:rsidTr="005B162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>One time payments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>10,000/-</w:t>
            </w:r>
          </w:p>
        </w:tc>
      </w:tr>
      <w:tr w:rsidR="005B162D" w:rsidRPr="007F11DD" w:rsidTr="005B162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>Refundable Deposits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2D" w:rsidRPr="007F11DD" w:rsidRDefault="005B162D" w:rsidP="001D00E2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11DD">
              <w:rPr>
                <w:rFonts w:ascii="Arial" w:hAnsi="Arial" w:cs="Arial"/>
                <w:sz w:val="22"/>
                <w:szCs w:val="22"/>
              </w:rPr>
              <w:t>Rs</w:t>
            </w:r>
            <w:proofErr w:type="spellEnd"/>
            <w:r w:rsidRPr="007F11DD">
              <w:rPr>
                <w:rFonts w:ascii="Arial" w:hAnsi="Arial" w:cs="Arial"/>
                <w:sz w:val="22"/>
                <w:szCs w:val="22"/>
              </w:rPr>
              <w:t xml:space="preserve">. 20,000/- </w:t>
            </w:r>
          </w:p>
          <w:p w:rsidR="005B162D" w:rsidRPr="007F11DD" w:rsidRDefault="005B162D" w:rsidP="005B162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1D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F11DD">
              <w:rPr>
                <w:rFonts w:ascii="Arial" w:hAnsi="Arial" w:cs="Arial"/>
                <w:sz w:val="22"/>
                <w:szCs w:val="22"/>
              </w:rPr>
              <w:t>Rs</w:t>
            </w:r>
            <w:proofErr w:type="spellEnd"/>
            <w:r w:rsidRPr="007F11DD">
              <w:rPr>
                <w:rFonts w:ascii="Arial" w:hAnsi="Arial" w:cs="Arial"/>
                <w:sz w:val="22"/>
                <w:szCs w:val="22"/>
              </w:rPr>
              <w:t>. 14,000/- for SC/ST)</w:t>
            </w:r>
          </w:p>
        </w:tc>
      </w:tr>
    </w:tbl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F11DD">
        <w:rPr>
          <w:rFonts w:ascii="Arial" w:hAnsi="Arial" w:cs="Arial"/>
          <w:b/>
          <w:bCs/>
          <w:sz w:val="22"/>
          <w:szCs w:val="22"/>
        </w:rPr>
        <w:t xml:space="preserve">Note: </w:t>
      </w:r>
    </w:p>
    <w:p w:rsidR="005B162D" w:rsidRPr="007F11DD" w:rsidRDefault="005B162D" w:rsidP="005B16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F11DD">
        <w:rPr>
          <w:rFonts w:ascii="Arial" w:hAnsi="Arial" w:cs="Arial"/>
          <w:sz w:val="22"/>
          <w:szCs w:val="22"/>
        </w:rPr>
        <w:t xml:space="preserve">Payment towards Mess shall be made separately by the students in advance on yearly basis which comes to </w:t>
      </w:r>
      <w:r>
        <w:rPr>
          <w:rFonts w:ascii="Arial" w:hAnsi="Arial" w:cs="Arial"/>
          <w:sz w:val="22"/>
          <w:szCs w:val="22"/>
        </w:rPr>
        <w:t xml:space="preserve">approximately </w:t>
      </w:r>
      <w:proofErr w:type="spellStart"/>
      <w:r w:rsidRPr="007F11DD">
        <w:rPr>
          <w:rFonts w:ascii="Arial" w:hAnsi="Arial" w:cs="Arial"/>
          <w:sz w:val="22"/>
          <w:szCs w:val="22"/>
        </w:rPr>
        <w:t>Rs</w:t>
      </w:r>
      <w:proofErr w:type="spellEnd"/>
      <w:r w:rsidRPr="007F11DD">
        <w:rPr>
          <w:rFonts w:ascii="Arial" w:hAnsi="Arial" w:cs="Arial"/>
          <w:sz w:val="22"/>
          <w:szCs w:val="22"/>
        </w:rPr>
        <w:t xml:space="preserve">. 30,000/- p.a. </w:t>
      </w:r>
    </w:p>
    <w:p w:rsidR="005B162D" w:rsidRPr="007F11DD" w:rsidRDefault="005B162D" w:rsidP="005B16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11DD">
        <w:rPr>
          <w:rFonts w:ascii="Arial" w:hAnsi="Arial" w:cs="Arial"/>
          <w:sz w:val="22"/>
          <w:szCs w:val="22"/>
        </w:rPr>
        <w:t xml:space="preserve">The fees / charges are provisional and subject to revision from time to time as per the decision of university bodies. </w:t>
      </w: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7F11DD">
        <w:rPr>
          <w:rFonts w:ascii="Arial" w:hAnsi="Arial" w:cs="Arial"/>
          <w:b/>
          <w:bCs/>
          <w:i/>
          <w:sz w:val="22"/>
          <w:szCs w:val="22"/>
        </w:rPr>
        <w:t xml:space="preserve">Important Note: </w:t>
      </w:r>
      <w:r w:rsidRPr="007F11DD">
        <w:rPr>
          <w:rFonts w:ascii="Arial" w:hAnsi="Arial" w:cs="Arial"/>
          <w:bCs/>
          <w:i/>
          <w:sz w:val="22"/>
          <w:szCs w:val="22"/>
        </w:rPr>
        <w:t xml:space="preserve">The University reserves the right to change the Intake, Fee Structure and Course Curriculum from time to time for both the Undergraduate and Postgraduate </w:t>
      </w:r>
      <w:proofErr w:type="spellStart"/>
      <w:r w:rsidRPr="007F11DD">
        <w:rPr>
          <w:rFonts w:ascii="Arial" w:hAnsi="Arial" w:cs="Arial"/>
          <w:bCs/>
          <w:i/>
          <w:sz w:val="22"/>
          <w:szCs w:val="22"/>
        </w:rPr>
        <w:t>Programmes</w:t>
      </w:r>
      <w:proofErr w:type="spellEnd"/>
      <w:r w:rsidRPr="007F11DD">
        <w:rPr>
          <w:rFonts w:ascii="Arial" w:hAnsi="Arial" w:cs="Arial"/>
          <w:bCs/>
          <w:i/>
          <w:sz w:val="22"/>
          <w:szCs w:val="22"/>
        </w:rPr>
        <w:t>.</w:t>
      </w:r>
      <w:r w:rsidRPr="007F11DD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5B162D" w:rsidRPr="007F11DD" w:rsidRDefault="005B162D" w:rsidP="005B162D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9C107A" w:rsidRDefault="009C107A"/>
    <w:sectPr w:rsidR="009C107A" w:rsidSect="005B162D">
      <w:pgSz w:w="12240" w:h="15840"/>
      <w:pgMar w:top="1440" w:right="144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03C2420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03BA7"/>
    <w:multiLevelType w:val="hybridMultilevel"/>
    <w:tmpl w:val="C9BE1302"/>
    <w:lvl w:ilvl="0" w:tplc="3D44E9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7A"/>
    <w:rsid w:val="00300F07"/>
    <w:rsid w:val="005B162D"/>
    <w:rsid w:val="009C107A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2D"/>
    <w:pPr>
      <w:suppressAutoHyphens/>
    </w:pPr>
    <w:rPr>
      <w:rFonts w:ascii="Garamond" w:eastAsia="Calibri" w:hAnsi="Garamond" w:cs="Garamond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162D"/>
    <w:pPr>
      <w:spacing w:after="0"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5B162D"/>
    <w:rPr>
      <w:rFonts w:ascii="Garamond" w:eastAsia="Calibri" w:hAnsi="Garamond" w:cs="Garamond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B1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2D"/>
    <w:pPr>
      <w:suppressAutoHyphens/>
    </w:pPr>
    <w:rPr>
      <w:rFonts w:ascii="Garamond" w:eastAsia="Calibri" w:hAnsi="Garamond" w:cs="Garamond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162D"/>
    <w:pPr>
      <w:spacing w:after="0"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5B162D"/>
    <w:rPr>
      <w:rFonts w:ascii="Garamond" w:eastAsia="Calibri" w:hAnsi="Garamond" w:cs="Garamond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B1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t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3</cp:revision>
  <dcterms:created xsi:type="dcterms:W3CDTF">2017-03-24T17:44:00Z</dcterms:created>
  <dcterms:modified xsi:type="dcterms:W3CDTF">2017-03-24T18:02:00Z</dcterms:modified>
</cp:coreProperties>
</file>